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A1390" w14:paraId="5B306C5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A1B3FFE" w14:textId="77777777" w:rsidR="009A1390" w:rsidRDefault="00016DF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272DA61" w14:textId="77777777" w:rsidR="009A1390" w:rsidRDefault="00016DF6">
            <w:pPr>
              <w:spacing w:after="0" w:line="240" w:lineRule="auto"/>
            </w:pPr>
            <w:r>
              <w:t>12181</w:t>
            </w:r>
          </w:p>
        </w:tc>
      </w:tr>
      <w:tr w:rsidR="009A1390" w14:paraId="5FE956C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BB8384A" w14:textId="77777777" w:rsidR="009A1390" w:rsidRDefault="00016DF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554590F" w14:textId="77777777" w:rsidR="009A1390" w:rsidRDefault="00016DF6">
            <w:pPr>
              <w:spacing w:after="0" w:line="240" w:lineRule="auto"/>
            </w:pPr>
            <w:r>
              <w:t>Osnovna škola STUDENCI</w:t>
            </w:r>
          </w:p>
        </w:tc>
      </w:tr>
      <w:tr w:rsidR="009A1390" w14:paraId="6749D36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5B2472A" w14:textId="77777777" w:rsidR="009A1390" w:rsidRDefault="00016DF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360E54E" w14:textId="77777777" w:rsidR="009A1390" w:rsidRDefault="00016DF6">
            <w:pPr>
              <w:spacing w:after="0" w:line="240" w:lineRule="auto"/>
            </w:pPr>
            <w:r>
              <w:t>31</w:t>
            </w:r>
          </w:p>
        </w:tc>
      </w:tr>
    </w:tbl>
    <w:p w14:paraId="163EF566" w14:textId="77777777" w:rsidR="009A1390" w:rsidRDefault="00016DF6">
      <w:r>
        <w:br/>
      </w:r>
    </w:p>
    <w:p w14:paraId="085916A3" w14:textId="77777777" w:rsidR="009A1390" w:rsidRDefault="00016DF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CC610C1" w14:textId="77777777" w:rsidR="009A1390" w:rsidRDefault="00016DF6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57D9607" w14:textId="77777777" w:rsidR="009A1390" w:rsidRDefault="00016DF6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DF1632F" w14:textId="77777777" w:rsidR="009A1390" w:rsidRDefault="009A1390"/>
    <w:p w14:paraId="2076D758" w14:textId="77777777" w:rsidR="009A1390" w:rsidRDefault="00016DF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A301992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253098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1BE4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D3ACD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5AD4E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65337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34291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D897F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7974A0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F2FD7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EB2697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466BD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56527A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492.318,87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6E8CA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579.776,74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D5864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  <w:tr w:rsidR="009A1390" w14:paraId="4F1E4E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50C748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F9BFA4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9D00B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EF0B30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493.160,93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D1E6F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579.145,69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554AC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  <w:tr w:rsidR="009A1390" w14:paraId="7682DD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B2DAE" w14:textId="77777777" w:rsidR="009A1390" w:rsidRDefault="009A13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0451AA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DBE59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3C4322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E85149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32082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A1390" w14:paraId="332D0D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79C775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E5A28D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9ED44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00EDD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B700DC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8EA2F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A1390" w14:paraId="761A45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660E55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40CE84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F4630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748E0A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9B508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37.885,76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2AB81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  <w:tr w:rsidR="009A1390" w14:paraId="691817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C12CE" w14:textId="77777777" w:rsidR="009A1390" w:rsidRDefault="009A13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CA4BAA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5A900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F14296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944950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37.885,76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D4D38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  <w:tr w:rsidR="009A1390" w14:paraId="4BEB88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B2DAC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F4175F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3162F8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E7433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C9387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49B6D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A1390" w14:paraId="0AA1B0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9CF4A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F21C61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78E8D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64A4D8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14C26B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35571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A1390" w14:paraId="508567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69660" w14:textId="77777777" w:rsidR="009A1390" w:rsidRDefault="009A13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F3D77C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E9E91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35F772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6290EE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EBCFF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A1390" w14:paraId="62FF7F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E7256" w14:textId="77777777" w:rsidR="009A1390" w:rsidRDefault="009A13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A51A0B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4F8CD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29C463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1.122,40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5FE3CE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37.254,71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32782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3319,2</w:t>
            </w:r>
          </w:p>
        </w:tc>
      </w:tr>
    </w:tbl>
    <w:p w14:paraId="7ECF9E9F" w14:textId="77777777" w:rsidR="009A1390" w:rsidRDefault="009A1390">
      <w:pPr>
        <w:spacing w:after="0"/>
      </w:pPr>
    </w:p>
    <w:p w14:paraId="7E052BE0" w14:textId="77777777" w:rsidR="009A1390" w:rsidRDefault="00016DF6">
      <w:r>
        <w:t>PRORAČUNSKI KORISNIK: Osnovna škola STUDENCI, RKP:12181, OIB:51194986184, ŠIFRA DJELATNOSTI:8520</w:t>
      </w:r>
    </w:p>
    <w:p w14:paraId="277122CB" w14:textId="77777777" w:rsidR="009A1390" w:rsidRDefault="00016DF6">
      <w:r>
        <w:t>BILJEŠKE UZ IZVJEŠTAJ O PRIHODIMA I RASHODIMA, PRIMICIMA I IZDACIMA ZA RAZDOBLJE SIJEČANJ - PROSINAC 2025. GODINE</w:t>
      </w:r>
    </w:p>
    <w:p w14:paraId="3A50874F" w14:textId="77777777" w:rsidR="009A1390" w:rsidRDefault="00016DF6">
      <w:r>
        <w:t> </w:t>
      </w:r>
    </w:p>
    <w:p w14:paraId="3E63B911" w14:textId="77777777" w:rsidR="009A1390" w:rsidRDefault="00016DF6">
      <w:r>
        <w:lastRenderedPageBreak/>
        <w:br/>
      </w:r>
    </w:p>
    <w:p w14:paraId="12BF9313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0446F0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A07D5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B5E9B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92D2F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74BDB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5B3B3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BBB22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7C9005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FCBA6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84727A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87D9F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82BA7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492.318,87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5F9F47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579.776,74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E3912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14:paraId="3C331F1D" w14:textId="77777777" w:rsidR="009A1390" w:rsidRDefault="009A1390">
      <w:pPr>
        <w:spacing w:after="0"/>
      </w:pPr>
    </w:p>
    <w:p w14:paraId="103D75D4" w14:textId="77777777" w:rsidR="009A1390" w:rsidRDefault="00016DF6">
      <w:r>
        <w:t>Prihodi od MZOM 487.865,44 eura, od općine Lovreć 40.432,93 eura, Kamate na depozite po viđenju 0,30 eura i Prihodi za financiranje rashoda poslovanja (SDŽ) 51.478,07.</w:t>
      </w:r>
    </w:p>
    <w:p w14:paraId="20DDF4C6" w14:textId="77777777" w:rsidR="009A1390" w:rsidRDefault="009A1390"/>
    <w:p w14:paraId="7E041097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7B88AC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D67B0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FCE70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F7022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DB332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0861D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5F79B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66CBD3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FB23A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75263A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839AA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D90A3F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449.791,46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6AE468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528.298,37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95B99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</w:tbl>
    <w:p w14:paraId="346F4499" w14:textId="77777777" w:rsidR="009A1390" w:rsidRDefault="009A1390">
      <w:pPr>
        <w:spacing w:after="0"/>
      </w:pPr>
    </w:p>
    <w:p w14:paraId="2BA7707C" w14:textId="77777777" w:rsidR="009A1390" w:rsidRDefault="00016DF6">
      <w:r>
        <w:t>Na navedenoj Šifri iskazani su prihodi za razdoblje siječanj-prosinac 2025. godine i to od: MZOM u iznosu od 487.865,44 eura te od općine Lovreć 40.432,93 eura.</w:t>
      </w:r>
    </w:p>
    <w:p w14:paraId="519302C9" w14:textId="77777777" w:rsidR="009A1390" w:rsidRDefault="009A1390"/>
    <w:p w14:paraId="0FDECCA3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6E17FD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D471A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DB200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25FB9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F1F1E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96C62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FC511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641A67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1BA5C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071725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F9101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3A8D6F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449.791,46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50AC66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528.298,37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28D10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</w:tbl>
    <w:p w14:paraId="6406EDB2" w14:textId="77777777" w:rsidR="009A1390" w:rsidRDefault="009A1390">
      <w:pPr>
        <w:spacing w:after="0"/>
      </w:pPr>
    </w:p>
    <w:p w14:paraId="78D9ADD0" w14:textId="77777777" w:rsidR="009A1390" w:rsidRDefault="00016DF6">
      <w:r>
        <w:t>Prihodi od MZOM iznose 487.865,44 eura, a odnose se na plaće za zaposlene, naknadu za prijevoz na posao i s posla, nagradu za uskrsne blagdane, Regres, naknade za smrtni slučaj, dvije otpremnine, jubilarne nagrade, Božićnicu, dar djeci za Sv. Nikolu, za hi</w:t>
      </w:r>
      <w:r>
        <w:t>gijenske potrepštine za djevojčice, za školsku lektiru i prehranu učenika.</w:t>
      </w:r>
    </w:p>
    <w:p w14:paraId="51EDF0D5" w14:textId="77777777" w:rsidR="009A1390" w:rsidRDefault="00016DF6">
      <w:r>
        <w:t>Prihodi iz Općinskog proračuna u iznosu od 40.432,93 eura odnose se na sanaciju tribina i asfaltiranje školskog igrališta, za sufinanciranje radnih bilježnica i ostalog učeničkog ma</w:t>
      </w:r>
      <w:r>
        <w:t>terijala za školsku 2025./2026.-u godinu kao i manje donacije Školi za predstave, priredbe i poklone djelatnicama za odlazak u mirovinu.</w:t>
      </w:r>
    </w:p>
    <w:p w14:paraId="303D075A" w14:textId="77777777" w:rsidR="009A1390" w:rsidRDefault="009A1390"/>
    <w:p w14:paraId="304FD7B8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3815A5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38763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D96C3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DA0B7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B7036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C986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F06D2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01A9FD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CE25A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D46693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6FBAA4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809FB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42.522,40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83CB4E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51.478,07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B6978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14:paraId="71668114" w14:textId="77777777" w:rsidR="009A1390" w:rsidRDefault="009A1390">
      <w:pPr>
        <w:spacing w:after="0"/>
      </w:pPr>
    </w:p>
    <w:p w14:paraId="0472D8E0" w14:textId="77777777" w:rsidR="009A1390" w:rsidRDefault="00016DF6">
      <w:r>
        <w:t>Na navedenoj Šifri se nalaze prihodi od Splitsko-dalmatinske županije.</w:t>
      </w:r>
    </w:p>
    <w:p w14:paraId="44F6CB16" w14:textId="77777777" w:rsidR="009A1390" w:rsidRDefault="009A1390"/>
    <w:p w14:paraId="4AD9F04B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1F4C07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45D4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AC262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00AC9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A8B0C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536E2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748AE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660FB0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9BD73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A5BD6A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r>
              <w:rPr>
                <w:sz w:val="18"/>
              </w:rPr>
              <w:t>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08723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2D3EAD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A6184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16.367,23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BE9A8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2F95369" w14:textId="77777777" w:rsidR="009A1390" w:rsidRDefault="009A1390">
      <w:pPr>
        <w:spacing w:after="0"/>
      </w:pPr>
    </w:p>
    <w:p w14:paraId="32019AF8" w14:textId="77777777" w:rsidR="009A1390" w:rsidRDefault="00016DF6">
      <w:r>
        <w:t>Nagrada za uskrsne blagdane 2.000,00 eura, dar djeci za Sv. Nikolu 1.300,00 eura, otpremnine 6.025,79 eura, pomoć za smrt u obitelji 441,44 eura i Regres 6.600,00 eura.</w:t>
      </w:r>
    </w:p>
    <w:p w14:paraId="02A2DBF0" w14:textId="77777777" w:rsidR="009A1390" w:rsidRDefault="009A1390"/>
    <w:p w14:paraId="3CDC4760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45E9A1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B08C3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C1E58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4F952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DB972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</w:t>
            </w:r>
            <w:r>
              <w:rPr>
                <w:b/>
                <w:sz w:val="18"/>
              </w:rPr>
              <w:t>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03198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B4C43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583CA4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3886D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F59AA8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B0FCD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9ED1D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6A2981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72E01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232,3</w:t>
            </w:r>
          </w:p>
        </w:tc>
      </w:tr>
    </w:tbl>
    <w:p w14:paraId="298618D4" w14:textId="77777777" w:rsidR="009A1390" w:rsidRDefault="009A1390">
      <w:pPr>
        <w:spacing w:after="0"/>
      </w:pPr>
    </w:p>
    <w:p w14:paraId="1873354A" w14:textId="77777777" w:rsidR="009A1390" w:rsidRDefault="00016DF6">
      <w:r>
        <w:t>Vidljivo je veće odstupanje u odnosu na 2024.-u godinu zbog polaganja dodatnog (periodičnog) stručnog ispita domara Škole za ložača centralnog grijanja.</w:t>
      </w:r>
    </w:p>
    <w:p w14:paraId="16D01B2C" w14:textId="77777777" w:rsidR="009A1390" w:rsidRDefault="009A1390"/>
    <w:p w14:paraId="48AF1ECE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74A0DF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DAB0B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76F2F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11BAB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F39E7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D1109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35000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1E455D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0C05D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D0A0B4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1E8F6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321D3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756A2E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3.303,33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727F9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2848,9</w:t>
            </w:r>
          </w:p>
        </w:tc>
      </w:tr>
    </w:tbl>
    <w:p w14:paraId="6619A871" w14:textId="77777777" w:rsidR="009A1390" w:rsidRDefault="009A1390">
      <w:pPr>
        <w:spacing w:after="0"/>
      </w:pPr>
    </w:p>
    <w:p w14:paraId="015FE3DA" w14:textId="77777777" w:rsidR="009A1390" w:rsidRDefault="00016DF6">
      <w:r>
        <w:t>Vidljiva je velika razlika u odnosu na 2024.-u godinu radi izmjene ulaznih vrata i vrata za izlaz u nuždi radi povećanja sigurnosti u školi, a sredstva je osigurala Splitsko-dalmatinska županija.</w:t>
      </w:r>
    </w:p>
    <w:p w14:paraId="56B4CBC8" w14:textId="77777777" w:rsidR="009A1390" w:rsidRDefault="009A1390"/>
    <w:p w14:paraId="70FA8A3A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372725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5BED1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6398F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AF06D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6586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9E985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04A17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4D09E4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F3472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EBFE7C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ECBA9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2812D3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66E904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6196A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152,0</w:t>
            </w:r>
          </w:p>
        </w:tc>
      </w:tr>
    </w:tbl>
    <w:p w14:paraId="0FA23320" w14:textId="77777777" w:rsidR="009A1390" w:rsidRDefault="009A1390">
      <w:pPr>
        <w:spacing w:after="0"/>
      </w:pPr>
    </w:p>
    <w:p w14:paraId="5C90001B" w14:textId="77777777" w:rsidR="009A1390" w:rsidRDefault="00016DF6">
      <w:r>
        <w:t xml:space="preserve">Razlika je vidljiva u odnosu na prošlu godinu zbog analize vode iz vodovoda i na </w:t>
      </w:r>
      <w:proofErr w:type="spellStart"/>
      <w:r>
        <w:t>legionele</w:t>
      </w:r>
      <w:proofErr w:type="spellEnd"/>
      <w:r>
        <w:t xml:space="preserve"> 2X.</w:t>
      </w:r>
    </w:p>
    <w:p w14:paraId="1B60EF77" w14:textId="77777777" w:rsidR="009A1390" w:rsidRDefault="009A1390"/>
    <w:p w14:paraId="70CF7208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3E4543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699E3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A7267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3CA8F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EB46E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CA9C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99AD2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9A1390" w14:paraId="1EED06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0F937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D57119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095D1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603337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9998FA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E7A0D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131,1</w:t>
            </w:r>
          </w:p>
        </w:tc>
      </w:tr>
    </w:tbl>
    <w:p w14:paraId="0616F5E4" w14:textId="77777777" w:rsidR="009A1390" w:rsidRDefault="009A1390">
      <w:pPr>
        <w:spacing w:after="0"/>
      </w:pPr>
    </w:p>
    <w:p w14:paraId="39E3D75D" w14:textId="77777777" w:rsidR="009A1390" w:rsidRDefault="00016DF6">
      <w:r>
        <w:t>Zbog povećanja minimalne plaće u siječnju 2025. godine došlo je do povećanja izdvajanja zbog nezapošljavanja osoba s invaliditetom.</w:t>
      </w:r>
    </w:p>
    <w:p w14:paraId="74C9D2B7" w14:textId="77777777" w:rsidR="009A1390" w:rsidRDefault="009A1390"/>
    <w:p w14:paraId="7DA59EB4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1A4B06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652B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FB236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48DE5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46096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A1E88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1F82F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2E76BF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27E41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F26AB7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4C5EB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9C79A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4B22E9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40.584,23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6EE75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CA1FB53" w14:textId="77777777" w:rsidR="009A1390" w:rsidRDefault="009A1390">
      <w:pPr>
        <w:spacing w:after="0"/>
      </w:pPr>
    </w:p>
    <w:p w14:paraId="0D335A59" w14:textId="77777777" w:rsidR="009A1390" w:rsidRDefault="00016DF6">
      <w:r>
        <w:t>Obračunati, a nenaplaćeni prihodi poslovanja odnose se na plaću za 12-2025, naknadu zbog nezapošljavanja osoba s invaliditetom, prehranu učenika i  materijalne rashode.</w:t>
      </w:r>
    </w:p>
    <w:p w14:paraId="061DCED8" w14:textId="77777777" w:rsidR="009A1390" w:rsidRDefault="009A1390"/>
    <w:p w14:paraId="4094E506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56EA44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2E5A2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03225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09B6B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739F3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716A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C529D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4788EA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CF926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FF1972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000F5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B188F9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E0ADB8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54FF2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A9A215F" w14:textId="77777777" w:rsidR="009A1390" w:rsidRDefault="009A1390">
      <w:pPr>
        <w:spacing w:after="0"/>
      </w:pPr>
    </w:p>
    <w:p w14:paraId="35FF1BAB" w14:textId="77777777" w:rsidR="009A1390" w:rsidRDefault="00016DF6">
      <w:proofErr w:type="spellStart"/>
      <w:r>
        <w:t>Interfonski</w:t>
      </w:r>
      <w:proofErr w:type="spellEnd"/>
      <w:r>
        <w:t xml:space="preserve"> sustav.</w:t>
      </w:r>
    </w:p>
    <w:p w14:paraId="16D54704" w14:textId="77777777" w:rsidR="009A1390" w:rsidRDefault="009A1390"/>
    <w:p w14:paraId="0F121A68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6DD3E0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BB2DD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9B322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9F9F1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65D2E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18441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B8396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4121EE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4406E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38AF93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47EBC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6EAE17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19803F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9CD32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D9B14E" w14:textId="77777777" w:rsidR="009A1390" w:rsidRDefault="009A1390">
      <w:pPr>
        <w:spacing w:after="0"/>
      </w:pPr>
    </w:p>
    <w:p w14:paraId="3373D7ED" w14:textId="77777777" w:rsidR="009A1390" w:rsidRDefault="00016DF6">
      <w:r>
        <w:t xml:space="preserve">Radi povećane sigurnosti ugradili smo </w:t>
      </w:r>
      <w:proofErr w:type="spellStart"/>
      <w:r>
        <w:t>interfonski</w:t>
      </w:r>
      <w:proofErr w:type="spellEnd"/>
      <w:r>
        <w:t xml:space="preserve"> sustav.</w:t>
      </w:r>
    </w:p>
    <w:p w14:paraId="7E2F69B9" w14:textId="77777777" w:rsidR="009A1390" w:rsidRDefault="009A1390"/>
    <w:p w14:paraId="7BF7DB1C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6D89C1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DB99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55F13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D1C92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DB726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809CC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C7FA6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356DB1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FB69C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CD6300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Knjige, umjetnička djela i </w:t>
            </w:r>
            <w:r>
              <w:rPr>
                <w:sz w:val="18"/>
              </w:rPr>
              <w:t>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BD928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6AB6B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B2A8C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C0E4E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510,2</w:t>
            </w:r>
          </w:p>
        </w:tc>
      </w:tr>
    </w:tbl>
    <w:p w14:paraId="4C3332D0" w14:textId="77777777" w:rsidR="009A1390" w:rsidRDefault="009A1390">
      <w:pPr>
        <w:spacing w:after="0"/>
      </w:pPr>
    </w:p>
    <w:p w14:paraId="63312E20" w14:textId="77777777" w:rsidR="009A1390" w:rsidRDefault="00016DF6">
      <w:r>
        <w:t xml:space="preserve">Nabavili smo 4 naslova za šk. knjižnicu od sredstava MZOM (239,93 eura), Županija je doznačila za nabavku </w:t>
      </w:r>
      <w:proofErr w:type="spellStart"/>
      <w:r>
        <w:t>jnjižnične</w:t>
      </w:r>
      <w:proofErr w:type="spellEnd"/>
      <w:r>
        <w:t xml:space="preserve"> građe 1.100,00 eura pa smo nabavili 20 naslova za šk. knjižnicu (1.099,46 eura) te je po preporuci MZOM nabavljena I. i II. knjiga HEROJSKI</w:t>
      </w:r>
      <w:r>
        <w:t xml:space="preserve"> VUKOVAR (90,79 eura).</w:t>
      </w:r>
    </w:p>
    <w:p w14:paraId="70C37649" w14:textId="77777777" w:rsidR="009A1390" w:rsidRDefault="009A1390"/>
    <w:p w14:paraId="159DC79B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755C0D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F4D2A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0258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C09F3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696AD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F5E29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C39A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59203A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D97FA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0C3BD8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0A821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1EF1F2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4C9C6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D8A51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510,2</w:t>
            </w:r>
          </w:p>
        </w:tc>
      </w:tr>
    </w:tbl>
    <w:p w14:paraId="445E7735" w14:textId="77777777" w:rsidR="009A1390" w:rsidRDefault="009A1390">
      <w:pPr>
        <w:spacing w:after="0"/>
      </w:pPr>
    </w:p>
    <w:p w14:paraId="770FF83A" w14:textId="77777777" w:rsidR="009A1390" w:rsidRDefault="00016DF6">
      <w:r>
        <w:t xml:space="preserve">Nabavili smo 4 naslova za šk. knjižnicu od sredstava MZOM (239,93 eura), Županija je doznačila za nabavku </w:t>
      </w:r>
      <w:proofErr w:type="spellStart"/>
      <w:r>
        <w:t>jnjižnične</w:t>
      </w:r>
      <w:proofErr w:type="spellEnd"/>
      <w:r>
        <w:t xml:space="preserve"> građe 1.100,00 eura pa smo nabavili 20 naslova za šk. knjižnicu (1.099,46 eura) te je po preporuci MZOM nabavljena I. i II. knjiga HEROJSKI</w:t>
      </w:r>
      <w:r>
        <w:t xml:space="preserve"> VUKOVAR (90,79 eura).</w:t>
      </w:r>
    </w:p>
    <w:p w14:paraId="3AB2D051" w14:textId="77777777" w:rsidR="009A1390" w:rsidRDefault="009A1390"/>
    <w:p w14:paraId="78EE8804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6CBD9F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5046D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7B6EA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12FCF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3FB55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DAB4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0432B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63AEE2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8A207D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0D328D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dodatna ulaganja na nefinancijskoj imovini </w:t>
            </w:r>
            <w:r>
              <w:rPr>
                <w:sz w:val="18"/>
              </w:rPr>
              <w:t>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92E93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CB836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13BE5E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35.030,58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AF252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74434E0" w14:textId="77777777" w:rsidR="009A1390" w:rsidRDefault="009A1390">
      <w:pPr>
        <w:spacing w:after="0"/>
      </w:pPr>
    </w:p>
    <w:p w14:paraId="1EAD579C" w14:textId="77777777" w:rsidR="009A1390" w:rsidRDefault="00016DF6">
      <w:r>
        <w:t>Općina Lovreć je financirala sanaciju betonskih tribina i  asfaltiranje igrališta.</w:t>
      </w:r>
    </w:p>
    <w:p w14:paraId="7B06B42A" w14:textId="77777777" w:rsidR="009A1390" w:rsidRDefault="009A1390"/>
    <w:p w14:paraId="4B3AADD0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3C349A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AD676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234CC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05E55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FD631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9049F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3140B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1C6767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05C294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067EE7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F6DA2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5DDAAA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9A5424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35.030,58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AE59C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5F35981" w14:textId="77777777" w:rsidR="009A1390" w:rsidRDefault="009A1390">
      <w:pPr>
        <w:spacing w:after="0"/>
      </w:pPr>
    </w:p>
    <w:p w14:paraId="23BD83DB" w14:textId="77777777" w:rsidR="009A1390" w:rsidRDefault="00016DF6">
      <w:r>
        <w:t>Općina Lovreć je financirala sanaciju betonskih tribina i  asfaltiranje igrališta.</w:t>
      </w:r>
    </w:p>
    <w:p w14:paraId="387821CE" w14:textId="77777777" w:rsidR="009A1390" w:rsidRDefault="009A1390"/>
    <w:p w14:paraId="73B5ACFB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041AA2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A0E86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BEF8A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15833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178EA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8816D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9F2F7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689633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25DFD" w14:textId="77777777" w:rsidR="009A1390" w:rsidRDefault="009A13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6C74D8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B7CAD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ADC94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CEA89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E82A1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95,8</w:t>
            </w:r>
          </w:p>
        </w:tc>
      </w:tr>
    </w:tbl>
    <w:p w14:paraId="65510CF6" w14:textId="77777777" w:rsidR="009A1390" w:rsidRDefault="009A1390">
      <w:pPr>
        <w:spacing w:after="0"/>
      </w:pPr>
    </w:p>
    <w:p w14:paraId="716B2B7B" w14:textId="77777777" w:rsidR="009A1390" w:rsidRDefault="00016DF6">
      <w:r>
        <w:t>Na platnoj listi je ukupno 23 zaposlenika. Samo 7 zaposlenika radi u punom radnom vremenu, a ostali su zaposlenici u dvije, tri pa čak i četiri škole.</w:t>
      </w:r>
    </w:p>
    <w:p w14:paraId="37700006" w14:textId="77777777" w:rsidR="009A1390" w:rsidRDefault="009A1390"/>
    <w:p w14:paraId="5EBDC736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232351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04513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6B74F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2F72A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0D93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97CA7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FE78F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46D743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7EC2A" w14:textId="77777777" w:rsidR="009A1390" w:rsidRDefault="009A13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2BBCC1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52C7B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B8219B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EE169E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6870A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4B4E2025" w14:textId="77777777" w:rsidR="009A1390" w:rsidRDefault="009A1390">
      <w:pPr>
        <w:spacing w:after="0"/>
      </w:pPr>
    </w:p>
    <w:p w14:paraId="0F3402A9" w14:textId="77777777" w:rsidR="009A1390" w:rsidRDefault="00016DF6">
      <w:r>
        <w:t>16 zaposlenika naše Škole radi u nepunom radnom vremenu.</w:t>
      </w:r>
    </w:p>
    <w:p w14:paraId="5956D15A" w14:textId="77777777" w:rsidR="009A1390" w:rsidRDefault="009A1390"/>
    <w:p w14:paraId="72AA603B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1718F7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A9EEA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F24A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D72CF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A30C3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D8036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C4327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382317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C624F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E43D93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B182E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B6624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A4D38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6.025,79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12487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55A9501" w14:textId="77777777" w:rsidR="009A1390" w:rsidRDefault="009A1390">
      <w:pPr>
        <w:spacing w:after="0"/>
      </w:pPr>
    </w:p>
    <w:p w14:paraId="6F130507" w14:textId="77777777" w:rsidR="009A1390" w:rsidRDefault="00016DF6">
      <w:r>
        <w:t>Dvije zaposlenice su tijekom 2025. godine otišle u mirovinu pa im je isplaćena otpremnina.</w:t>
      </w:r>
    </w:p>
    <w:p w14:paraId="47B4CA30" w14:textId="77777777" w:rsidR="009A1390" w:rsidRDefault="009A1390"/>
    <w:p w14:paraId="7DBD7BF6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2A7FF7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9751D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ED757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7FD79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3CEC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01DCE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43130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49BB0F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58D6EA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397F1D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CE4689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74EF28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078EE6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1DE55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3BBF68" w14:textId="77777777" w:rsidR="009A1390" w:rsidRDefault="009A1390">
      <w:pPr>
        <w:spacing w:after="0"/>
      </w:pPr>
    </w:p>
    <w:p w14:paraId="172AC00A" w14:textId="77777777" w:rsidR="009A1390" w:rsidRDefault="00016DF6">
      <w:r>
        <w:t>Ova naknada je isplaćena jednoj zaposlenici kao pomoć zbog smrti u obitelji.</w:t>
      </w:r>
    </w:p>
    <w:p w14:paraId="5E160F81" w14:textId="77777777" w:rsidR="009A1390" w:rsidRDefault="009A1390"/>
    <w:p w14:paraId="0F5DB9D5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193C7E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EDE6C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797FE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EE569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3A378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30086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7C490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6AE08B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A6188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0C71A7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0E5F1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3212F7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0E3AFC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9CAA9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99,2</w:t>
            </w:r>
          </w:p>
        </w:tc>
      </w:tr>
    </w:tbl>
    <w:p w14:paraId="4359C8AD" w14:textId="77777777" w:rsidR="009A1390" w:rsidRDefault="009A1390">
      <w:pPr>
        <w:spacing w:after="0"/>
      </w:pPr>
    </w:p>
    <w:p w14:paraId="66747461" w14:textId="77777777" w:rsidR="009A1390" w:rsidRDefault="00016DF6">
      <w:r>
        <w:t>3 zaposlenika je obavilo sistematski pregled tijekom 2025. godine.</w:t>
      </w:r>
    </w:p>
    <w:p w14:paraId="1CA19DC8" w14:textId="77777777" w:rsidR="009A1390" w:rsidRDefault="009A1390"/>
    <w:p w14:paraId="7F2ED4C0" w14:textId="77777777" w:rsidR="009A1390" w:rsidRDefault="00016DF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2A4B473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13343B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B6C6E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B8AD5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9E32D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CE801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D19C0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194BE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2718B0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9EE25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61DF41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BE83F9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D9CC9D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12.282,41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8B5EC1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47.312,99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EE30A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385,2</w:t>
            </w:r>
          </w:p>
        </w:tc>
      </w:tr>
    </w:tbl>
    <w:p w14:paraId="793FBA76" w14:textId="77777777" w:rsidR="009A1390" w:rsidRDefault="009A1390">
      <w:pPr>
        <w:spacing w:after="0"/>
      </w:pPr>
    </w:p>
    <w:p w14:paraId="1CE12F3D" w14:textId="77777777" w:rsidR="009A1390" w:rsidRDefault="00016DF6">
      <w:r>
        <w:t xml:space="preserve">Zbog znatnog odstupanja u odnosu ma 2024.-u godinu došlo je zbog dodatnih ulaganja na školskom </w:t>
      </w:r>
      <w:proofErr w:type="spellStart"/>
      <w:r>
        <w:t>igralitu</w:t>
      </w:r>
      <w:proofErr w:type="spellEnd"/>
      <w:r>
        <w:t>.</w:t>
      </w:r>
    </w:p>
    <w:p w14:paraId="05DE0012" w14:textId="77777777" w:rsidR="009A1390" w:rsidRDefault="009A1390"/>
    <w:p w14:paraId="30B55BE7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640897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36A96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CC2C7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90E4F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6A127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10E56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FE9CA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7DD939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A1E3C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86B074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BFEA6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4FC19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8241A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DA4D3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301,2</w:t>
            </w:r>
          </w:p>
        </w:tc>
      </w:tr>
    </w:tbl>
    <w:p w14:paraId="117AED85" w14:textId="77777777" w:rsidR="009A1390" w:rsidRDefault="009A1390">
      <w:pPr>
        <w:spacing w:after="0"/>
      </w:pPr>
    </w:p>
    <w:p w14:paraId="33F6D278" w14:textId="77777777" w:rsidR="009A1390" w:rsidRDefault="00016DF6">
      <w:r>
        <w:t xml:space="preserve">Odstupanje je zbog ugradnje </w:t>
      </w:r>
      <w:proofErr w:type="spellStart"/>
      <w:r>
        <w:t>interfonskog</w:t>
      </w:r>
      <w:proofErr w:type="spellEnd"/>
      <w:r>
        <w:t xml:space="preserve"> sustava.</w:t>
      </w:r>
    </w:p>
    <w:p w14:paraId="1EF5268E" w14:textId="77777777" w:rsidR="009A1390" w:rsidRDefault="009A1390"/>
    <w:p w14:paraId="3DD4CAB6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21C978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179A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45408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88D61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466E0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B98C2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02E3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37E570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0E770A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F993F2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(šifre 1111 do 1114)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D9888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C18FA5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0788B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4.830,93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D50E7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2820,5</w:t>
            </w:r>
          </w:p>
        </w:tc>
      </w:tr>
    </w:tbl>
    <w:p w14:paraId="782096FA" w14:textId="77777777" w:rsidR="009A1390" w:rsidRDefault="009A1390">
      <w:pPr>
        <w:spacing w:after="0"/>
      </w:pPr>
    </w:p>
    <w:p w14:paraId="154CF7DF" w14:textId="77777777" w:rsidR="009A1390" w:rsidRDefault="00016DF6">
      <w:r>
        <w:t>Županija i Općina su krajem prosinca doznačili sredstva za podmirenje dijela obveza, a plaćanje je izvršeno početkom 2026.-e godine.</w:t>
      </w:r>
    </w:p>
    <w:p w14:paraId="44CDF403" w14:textId="77777777" w:rsidR="009A1390" w:rsidRDefault="009A1390"/>
    <w:p w14:paraId="2C16F44D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390" w14:paraId="52ECC8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70651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A0AD3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DF95F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49E9B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58C21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DB671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43E295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93EBF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490E11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D4C23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4EA9C3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38FE2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40.584,23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3961D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81B37D" w14:textId="77777777" w:rsidR="009A1390" w:rsidRDefault="009A1390">
      <w:pPr>
        <w:spacing w:after="0"/>
      </w:pPr>
    </w:p>
    <w:p w14:paraId="18CFC1F1" w14:textId="77777777" w:rsidR="009A1390" w:rsidRDefault="00016DF6">
      <w:r>
        <w:t>Potraživanje se odnosi na izdatke za zaposlene za prosinac 2025. godine.</w:t>
      </w:r>
    </w:p>
    <w:p w14:paraId="754FF3DE" w14:textId="77777777" w:rsidR="009A1390" w:rsidRDefault="009A1390"/>
    <w:p w14:paraId="174B8A21" w14:textId="77777777" w:rsidR="009A1390" w:rsidRDefault="00016DF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7FEDED7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A1390" w14:paraId="2D9A2F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7C98E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C1233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2D830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C82FA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99873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023CBD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44C73" w14:textId="77777777" w:rsidR="009A1390" w:rsidRDefault="009A13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C59E36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34D90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D3863F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48.515,36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1FF52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F4C8F4A" w14:textId="77777777" w:rsidR="009A1390" w:rsidRDefault="009A1390">
      <w:pPr>
        <w:spacing w:after="0"/>
      </w:pPr>
    </w:p>
    <w:p w14:paraId="6721F914" w14:textId="77777777" w:rsidR="009A1390" w:rsidRDefault="00016DF6">
      <w:r>
        <w:t>Stanje dospjelih obveza najvećim dijelom se odnosi na obveze za zaposlene kao i materijalne i financijske rashode.</w:t>
      </w:r>
    </w:p>
    <w:p w14:paraId="1D5D541A" w14:textId="77777777" w:rsidR="009A1390" w:rsidRDefault="009A1390"/>
    <w:p w14:paraId="20702923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A1390" w14:paraId="515E5E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6E65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EEA58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13D4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80098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B851B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27A110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6CB6F" w14:textId="77777777" w:rsidR="009A1390" w:rsidRDefault="009A13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C73D44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Podmirene obveze u izvještajnom razdoblju (šifre </w:t>
            </w:r>
            <w:r>
              <w:rPr>
                <w:sz w:val="18"/>
              </w:rPr>
              <w:t>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6084F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997C9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43.598,46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0F91A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8FBE444" w14:textId="77777777" w:rsidR="009A1390" w:rsidRDefault="009A1390">
      <w:pPr>
        <w:spacing w:after="0"/>
      </w:pPr>
    </w:p>
    <w:p w14:paraId="2270F3AD" w14:textId="77777777" w:rsidR="009A1390" w:rsidRDefault="00016DF6">
      <w:r>
        <w:t>Sve obveze na početku izvještajnog razdoblja su podmirene tijekom 2025.-e godine.</w:t>
      </w:r>
    </w:p>
    <w:p w14:paraId="6240E7B2" w14:textId="77777777" w:rsidR="009A1390" w:rsidRDefault="009A1390"/>
    <w:p w14:paraId="6F058C2D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A1390" w14:paraId="69B8B3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F857F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12963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D830B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93329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C709B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1D804D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8B450" w14:textId="77777777" w:rsidR="009A1390" w:rsidRDefault="009A13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BA5F17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EE346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C1E02E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1FFD5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3A0B68" w14:textId="77777777" w:rsidR="009A1390" w:rsidRDefault="009A1390">
      <w:pPr>
        <w:spacing w:after="0"/>
      </w:pPr>
    </w:p>
    <w:p w14:paraId="73D48938" w14:textId="77777777" w:rsidR="009A1390" w:rsidRDefault="00016DF6">
      <w:r>
        <w:t>Za navedenu šifru nemamo iskazanih podataka u obrascu Obveze kao ni u ranijim razdobljima.</w:t>
      </w:r>
    </w:p>
    <w:p w14:paraId="3BA10D86" w14:textId="77777777" w:rsidR="009A1390" w:rsidRDefault="009A1390"/>
    <w:p w14:paraId="2C90A1FA" w14:textId="77777777" w:rsidR="009A1390" w:rsidRDefault="00016DF6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A1390" w14:paraId="7E28E8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2B48F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5A964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03A32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553F9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3600F" w14:textId="77777777" w:rsidR="009A1390" w:rsidRDefault="00016D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390" w14:paraId="49AF09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7FA03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BEEA2E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ABD2E" w14:textId="77777777" w:rsidR="009A1390" w:rsidRDefault="00016D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A86FB9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48.515,36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2AFCC" w14:textId="77777777" w:rsidR="009A1390" w:rsidRDefault="00016D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B128F74" w14:textId="77777777" w:rsidR="009A1390" w:rsidRDefault="009A1390">
      <w:pPr>
        <w:spacing w:after="0"/>
      </w:pPr>
    </w:p>
    <w:p w14:paraId="72164707" w14:textId="77777777" w:rsidR="009A1390" w:rsidRDefault="00016DF6">
      <w:r>
        <w:t>Stanje dospjelih obveza najvećim dijelom se odnosi na obveze za zaposlene kao i materijalne i financijske rashode.</w:t>
      </w:r>
    </w:p>
    <w:p w14:paraId="5BAFDB57" w14:textId="77777777" w:rsidR="009A1390" w:rsidRDefault="009A1390"/>
    <w:sectPr w:rsidR="009A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90"/>
    <w:rsid w:val="00016DF6"/>
    <w:rsid w:val="009A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AF77"/>
  <w15:docId w15:val="{F1CE6393-E640-4D80-AC82-CFDA451B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1782</Words>
  <Characters>10164</Characters>
  <Application>Microsoft Office Word</Application>
  <DocSecurity>0</DocSecurity>
  <Lines>84</Lines>
  <Paragraphs>23</Paragraphs>
  <ScaleCrop>false</ScaleCrop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2</cp:revision>
  <cp:lastPrinted>2026-02-02T07:18:00Z</cp:lastPrinted>
  <dcterms:created xsi:type="dcterms:W3CDTF">2026-02-02T07:20:00Z</dcterms:created>
  <dcterms:modified xsi:type="dcterms:W3CDTF">2026-02-02T07:20:00Z</dcterms:modified>
</cp:coreProperties>
</file>